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C578" w14:textId="77777777" w:rsidR="007E1D8F" w:rsidRPr="004D6AE5" w:rsidRDefault="007E1D8F" w:rsidP="007E1D8F">
      <w:pPr>
        <w:rPr>
          <w:rFonts w:ascii="Times New Roman" w:hAnsi="Times New Roman" w:cs="Times New Roman"/>
          <w:sz w:val="24"/>
          <w:szCs w:val="24"/>
        </w:rPr>
      </w:pPr>
      <w:r w:rsidRPr="004D6AE5">
        <w:rPr>
          <w:rFonts w:ascii="Times New Roman" w:hAnsi="Times New Roman" w:cs="Times New Roman"/>
          <w:i/>
          <w:iCs/>
          <w:sz w:val="24"/>
          <w:szCs w:val="24"/>
        </w:rPr>
        <w:t>Tax &amp; Business Alert</w:t>
      </w:r>
      <w:r w:rsidRPr="004D6AE5">
        <w:rPr>
          <w:rFonts w:ascii="Times New Roman" w:hAnsi="Times New Roman" w:cs="Times New Roman"/>
          <w:sz w:val="24"/>
          <w:szCs w:val="24"/>
        </w:rPr>
        <w:t xml:space="preserve"> – April 2022</w:t>
      </w:r>
    </w:p>
    <w:p w14:paraId="7427A453" w14:textId="3BC270A3" w:rsidR="007E1D8F" w:rsidRPr="004D6AE5" w:rsidRDefault="007E1D8F" w:rsidP="007E1D8F">
      <w:pPr>
        <w:rPr>
          <w:rFonts w:ascii="Times New Roman" w:hAnsi="Times New Roman" w:cs="Times New Roman"/>
          <w:sz w:val="24"/>
          <w:szCs w:val="24"/>
        </w:rPr>
      </w:pPr>
      <w:r w:rsidRPr="004D6AE5">
        <w:rPr>
          <w:rFonts w:ascii="Times New Roman" w:hAnsi="Times New Roman" w:cs="Times New Roman"/>
          <w:sz w:val="24"/>
          <w:szCs w:val="24"/>
        </w:rPr>
        <w:t xml:space="preserve">Word count target: </w:t>
      </w:r>
      <w:r w:rsidR="00D762FB" w:rsidRPr="004D6AE5">
        <w:rPr>
          <w:rFonts w:ascii="Times New Roman" w:hAnsi="Times New Roman" w:cs="Times New Roman"/>
          <w:sz w:val="24"/>
          <w:szCs w:val="24"/>
        </w:rPr>
        <w:t>42</w:t>
      </w:r>
      <w:r w:rsidR="00B31398" w:rsidRPr="004D6AE5">
        <w:rPr>
          <w:rFonts w:ascii="Times New Roman" w:hAnsi="Times New Roman" w:cs="Times New Roman"/>
          <w:sz w:val="24"/>
          <w:szCs w:val="24"/>
        </w:rPr>
        <w:t>0-</w:t>
      </w:r>
      <w:r w:rsidR="00D762FB" w:rsidRPr="004D6AE5">
        <w:rPr>
          <w:rFonts w:ascii="Times New Roman" w:hAnsi="Times New Roman" w:cs="Times New Roman"/>
          <w:sz w:val="24"/>
          <w:szCs w:val="24"/>
        </w:rPr>
        <w:t>4</w:t>
      </w:r>
      <w:r w:rsidR="00B72C27" w:rsidRPr="004D6AE5">
        <w:rPr>
          <w:rFonts w:ascii="Times New Roman" w:hAnsi="Times New Roman" w:cs="Times New Roman"/>
          <w:sz w:val="24"/>
          <w:szCs w:val="24"/>
        </w:rPr>
        <w:t>4</w:t>
      </w:r>
      <w:r w:rsidR="00B31398" w:rsidRPr="004D6AE5">
        <w:rPr>
          <w:rFonts w:ascii="Times New Roman" w:hAnsi="Times New Roman" w:cs="Times New Roman"/>
          <w:sz w:val="24"/>
          <w:szCs w:val="24"/>
        </w:rPr>
        <w:t>0</w:t>
      </w:r>
    </w:p>
    <w:p w14:paraId="3C764911" w14:textId="1EC7BA2A" w:rsidR="0083595C" w:rsidRPr="004D6AE5" w:rsidRDefault="0083595C" w:rsidP="007E1D8F">
      <w:pPr>
        <w:rPr>
          <w:rFonts w:ascii="Times New Roman" w:hAnsi="Times New Roman" w:cs="Times New Roman"/>
          <w:sz w:val="24"/>
          <w:szCs w:val="24"/>
        </w:rPr>
      </w:pPr>
      <w:r w:rsidRPr="004D6AE5">
        <w:rPr>
          <w:rFonts w:ascii="Times New Roman" w:hAnsi="Times New Roman" w:cs="Times New Roman"/>
          <w:sz w:val="24"/>
          <w:szCs w:val="24"/>
        </w:rPr>
        <w:t>Actual</w:t>
      </w:r>
      <w:r w:rsidR="00EE7278" w:rsidRPr="004D6AE5">
        <w:rPr>
          <w:rFonts w:ascii="Times New Roman" w:hAnsi="Times New Roman" w:cs="Times New Roman"/>
          <w:sz w:val="24"/>
          <w:szCs w:val="24"/>
        </w:rPr>
        <w:t xml:space="preserve">: </w:t>
      </w:r>
      <w:r w:rsidR="00330F1B" w:rsidRPr="004D6AE5">
        <w:rPr>
          <w:rFonts w:ascii="Times New Roman" w:hAnsi="Times New Roman" w:cs="Times New Roman"/>
          <w:sz w:val="24"/>
          <w:szCs w:val="24"/>
        </w:rPr>
        <w:t>4</w:t>
      </w:r>
      <w:r w:rsidR="009859F0">
        <w:rPr>
          <w:rFonts w:ascii="Times New Roman" w:hAnsi="Times New Roman" w:cs="Times New Roman"/>
          <w:sz w:val="24"/>
          <w:szCs w:val="24"/>
        </w:rPr>
        <w:t>40</w:t>
      </w:r>
      <w:r w:rsidR="00EE7278" w:rsidRPr="004D6AE5">
        <w:rPr>
          <w:rFonts w:ascii="Times New Roman" w:hAnsi="Times New Roman" w:cs="Times New Roman"/>
          <w:sz w:val="24"/>
          <w:szCs w:val="24"/>
        </w:rPr>
        <w:t xml:space="preserve"> words</w:t>
      </w:r>
    </w:p>
    <w:p w14:paraId="18AC3A30" w14:textId="667FF25F" w:rsidR="00004515" w:rsidRPr="004D6AE5" w:rsidRDefault="007E1D8F" w:rsidP="00004515">
      <w:pPr>
        <w:spacing w:before="264" w:after="264"/>
        <w:rPr>
          <w:rFonts w:ascii="Times New Roman" w:hAnsi="Times New Roman" w:cs="Times New Roman"/>
          <w:b/>
          <w:bCs/>
          <w:sz w:val="24"/>
          <w:szCs w:val="24"/>
        </w:rPr>
      </w:pPr>
      <w:r w:rsidRPr="004D6AE5">
        <w:rPr>
          <w:rFonts w:ascii="Times New Roman" w:eastAsia="MS Mincho" w:hAnsi="Times New Roman" w:cs="Times New Roman"/>
          <w:b/>
          <w:bCs/>
          <w:sz w:val="24"/>
          <w:szCs w:val="24"/>
        </w:rPr>
        <w:t xml:space="preserve">Abstract:  </w:t>
      </w:r>
      <w:r w:rsidRPr="004D6AE5">
        <w:rPr>
          <w:rFonts w:ascii="Times New Roman" w:eastAsia="MS Mincho" w:hAnsi="Times New Roman" w:cs="Times New Roman"/>
          <w:sz w:val="24"/>
          <w:szCs w:val="24"/>
        </w:rPr>
        <w:t xml:space="preserve"> </w:t>
      </w:r>
      <w:r w:rsidR="005808EB" w:rsidRPr="004D6AE5">
        <w:rPr>
          <w:rFonts w:ascii="Times New Roman" w:hAnsi="Times New Roman" w:cs="Times New Roman"/>
          <w:sz w:val="24"/>
          <w:szCs w:val="24"/>
        </w:rPr>
        <w:t>Individuals who</w:t>
      </w:r>
      <w:r w:rsidR="00004515" w:rsidRPr="004D6AE5">
        <w:rPr>
          <w:rFonts w:ascii="Times New Roman" w:hAnsi="Times New Roman" w:cs="Times New Roman"/>
          <w:sz w:val="24"/>
          <w:szCs w:val="24"/>
        </w:rPr>
        <w:t xml:space="preserve"> have a life insurance policy probably want to ensure that the benefits </w:t>
      </w:r>
      <w:r w:rsidR="005808EB" w:rsidRPr="004D6AE5">
        <w:rPr>
          <w:rFonts w:ascii="Times New Roman" w:hAnsi="Times New Roman" w:cs="Times New Roman"/>
          <w:sz w:val="24"/>
          <w:szCs w:val="24"/>
        </w:rPr>
        <w:t>their</w:t>
      </w:r>
      <w:r w:rsidR="00004515" w:rsidRPr="004D6AE5">
        <w:rPr>
          <w:rFonts w:ascii="Times New Roman" w:hAnsi="Times New Roman" w:cs="Times New Roman"/>
          <w:sz w:val="24"/>
          <w:szCs w:val="24"/>
        </w:rPr>
        <w:t xml:space="preserve"> famil</w:t>
      </w:r>
      <w:r w:rsidR="005808EB" w:rsidRPr="004D6AE5">
        <w:rPr>
          <w:rFonts w:ascii="Times New Roman" w:hAnsi="Times New Roman" w:cs="Times New Roman"/>
          <w:sz w:val="24"/>
          <w:szCs w:val="24"/>
        </w:rPr>
        <w:t>ies</w:t>
      </w:r>
      <w:r w:rsidR="00004515" w:rsidRPr="004D6AE5">
        <w:rPr>
          <w:rFonts w:ascii="Times New Roman" w:hAnsi="Times New Roman" w:cs="Times New Roman"/>
          <w:sz w:val="24"/>
          <w:szCs w:val="24"/>
        </w:rPr>
        <w:t xml:space="preserve"> will receive after </w:t>
      </w:r>
      <w:r w:rsidR="005808EB" w:rsidRPr="004D6AE5">
        <w:rPr>
          <w:rFonts w:ascii="Times New Roman" w:hAnsi="Times New Roman" w:cs="Times New Roman"/>
          <w:sz w:val="24"/>
          <w:szCs w:val="24"/>
        </w:rPr>
        <w:t xml:space="preserve">their </w:t>
      </w:r>
      <w:r w:rsidR="00004515" w:rsidRPr="004D6AE5">
        <w:rPr>
          <w:rFonts w:ascii="Times New Roman" w:hAnsi="Times New Roman" w:cs="Times New Roman"/>
          <w:sz w:val="24"/>
          <w:szCs w:val="24"/>
        </w:rPr>
        <w:t>death</w:t>
      </w:r>
      <w:r w:rsidR="005808EB" w:rsidRPr="004D6AE5">
        <w:rPr>
          <w:rFonts w:ascii="Times New Roman" w:hAnsi="Times New Roman" w:cs="Times New Roman"/>
          <w:sz w:val="24"/>
          <w:szCs w:val="24"/>
        </w:rPr>
        <w:t>s</w:t>
      </w:r>
      <w:r w:rsidR="00004515" w:rsidRPr="004D6AE5">
        <w:rPr>
          <w:rFonts w:ascii="Times New Roman" w:hAnsi="Times New Roman" w:cs="Times New Roman"/>
          <w:sz w:val="24"/>
          <w:szCs w:val="24"/>
        </w:rPr>
        <w:t xml:space="preserve"> aren’t included in </w:t>
      </w:r>
      <w:r w:rsidR="005808EB" w:rsidRPr="004D6AE5">
        <w:rPr>
          <w:rFonts w:ascii="Times New Roman" w:hAnsi="Times New Roman" w:cs="Times New Roman"/>
          <w:sz w:val="24"/>
          <w:szCs w:val="24"/>
        </w:rPr>
        <w:t>their</w:t>
      </w:r>
      <w:r w:rsidR="00004515" w:rsidRPr="004D6AE5">
        <w:rPr>
          <w:rFonts w:ascii="Times New Roman" w:hAnsi="Times New Roman" w:cs="Times New Roman"/>
          <w:sz w:val="24"/>
          <w:szCs w:val="24"/>
        </w:rPr>
        <w:t xml:space="preserve"> estate</w:t>
      </w:r>
      <w:r w:rsidR="005808EB" w:rsidRPr="004D6AE5">
        <w:rPr>
          <w:rFonts w:ascii="Times New Roman" w:hAnsi="Times New Roman" w:cs="Times New Roman"/>
          <w:sz w:val="24"/>
          <w:szCs w:val="24"/>
        </w:rPr>
        <w:t>s</w:t>
      </w:r>
      <w:r w:rsidR="00004515" w:rsidRPr="004D6AE5">
        <w:rPr>
          <w:rFonts w:ascii="Times New Roman" w:hAnsi="Times New Roman" w:cs="Times New Roman"/>
          <w:sz w:val="24"/>
          <w:szCs w:val="24"/>
        </w:rPr>
        <w:t>. That way, the benefits won’t be subject to the federal estate tax</w:t>
      </w:r>
      <w:bookmarkStart w:id="0" w:name="_Hlk94025408"/>
      <w:r w:rsidR="006F1BE3" w:rsidRPr="004D6AE5">
        <w:rPr>
          <w:rFonts w:ascii="Times New Roman" w:hAnsi="Times New Roman" w:cs="Times New Roman"/>
          <w:sz w:val="24"/>
          <w:szCs w:val="24"/>
        </w:rPr>
        <w:t>.</w:t>
      </w:r>
      <w:r w:rsidR="00004515" w:rsidRPr="004D6AE5">
        <w:rPr>
          <w:rFonts w:ascii="Times New Roman" w:hAnsi="Times New Roman" w:cs="Times New Roman"/>
          <w:sz w:val="24"/>
          <w:szCs w:val="24"/>
        </w:rPr>
        <w:t xml:space="preserve"> </w:t>
      </w:r>
      <w:r w:rsidR="005808EB" w:rsidRPr="004D6AE5">
        <w:rPr>
          <w:rFonts w:ascii="Times New Roman" w:hAnsi="Times New Roman" w:cs="Times New Roman"/>
          <w:sz w:val="24"/>
          <w:szCs w:val="24"/>
        </w:rPr>
        <w:t>This article discusses the ins and outs of</w:t>
      </w:r>
      <w:r w:rsidR="00047E11" w:rsidRPr="004D6AE5">
        <w:rPr>
          <w:rFonts w:ascii="Times New Roman" w:hAnsi="Times New Roman" w:cs="Times New Roman"/>
          <w:sz w:val="24"/>
          <w:szCs w:val="24"/>
        </w:rPr>
        <w:t xml:space="preserve"> life insurance plans and estate taxes</w:t>
      </w:r>
      <w:r w:rsidR="005808EB" w:rsidRPr="004D6AE5">
        <w:rPr>
          <w:rFonts w:ascii="Times New Roman" w:hAnsi="Times New Roman" w:cs="Times New Roman"/>
          <w:sz w:val="24"/>
          <w:szCs w:val="24"/>
        </w:rPr>
        <w:t>.</w:t>
      </w:r>
    </w:p>
    <w:p w14:paraId="2240EFDF" w14:textId="77777777" w:rsidR="00004515" w:rsidRPr="004D6AE5" w:rsidRDefault="00004515" w:rsidP="00004515">
      <w:pPr>
        <w:spacing w:before="264" w:after="264"/>
        <w:rPr>
          <w:rFonts w:ascii="Times New Roman" w:hAnsi="Times New Roman" w:cs="Times New Roman"/>
          <w:b/>
          <w:bCs/>
          <w:sz w:val="28"/>
          <w:szCs w:val="28"/>
        </w:rPr>
      </w:pPr>
      <w:r w:rsidRPr="004D6AE5">
        <w:rPr>
          <w:rFonts w:ascii="Times New Roman" w:hAnsi="Times New Roman" w:cs="Times New Roman"/>
          <w:b/>
          <w:bCs/>
          <w:sz w:val="28"/>
          <w:szCs w:val="28"/>
        </w:rPr>
        <w:t>Shield your life insurance from federal estate tax</w:t>
      </w:r>
    </w:p>
    <w:p w14:paraId="0C9E4675" w14:textId="17B9F6A9" w:rsidR="00A56B8B" w:rsidRPr="004D6AE5" w:rsidRDefault="00004515" w:rsidP="00004515">
      <w:pPr>
        <w:spacing w:before="264" w:after="264"/>
        <w:rPr>
          <w:rFonts w:ascii="Times New Roman" w:hAnsi="Times New Roman" w:cs="Times New Roman"/>
          <w:sz w:val="24"/>
          <w:szCs w:val="24"/>
        </w:rPr>
      </w:pPr>
      <w:r w:rsidRPr="004D6AE5">
        <w:rPr>
          <w:rFonts w:ascii="Times New Roman" w:hAnsi="Times New Roman" w:cs="Times New Roman"/>
          <w:sz w:val="24"/>
          <w:szCs w:val="24"/>
        </w:rPr>
        <w:t xml:space="preserve">If you have a life insurance policy, be aware that the proceeds your beneficiary receives could be subject to federal estate tax. That is, unless you take steps to ensure that the policy isn’t part of your estate.  </w:t>
      </w:r>
    </w:p>
    <w:p w14:paraId="74283F62" w14:textId="1FD99E25" w:rsidR="00616CF5" w:rsidRPr="004D6AE5" w:rsidRDefault="0087468C" w:rsidP="00004515">
      <w:pPr>
        <w:spacing w:before="264" w:after="264"/>
        <w:rPr>
          <w:rFonts w:ascii="Times New Roman" w:hAnsi="Times New Roman" w:cs="Times New Roman"/>
          <w:b/>
          <w:bCs/>
          <w:sz w:val="24"/>
          <w:szCs w:val="24"/>
        </w:rPr>
      </w:pPr>
      <w:r w:rsidRPr="004D6AE5">
        <w:rPr>
          <w:rFonts w:ascii="Times New Roman" w:hAnsi="Times New Roman" w:cs="Times New Roman"/>
          <w:b/>
          <w:bCs/>
          <w:sz w:val="24"/>
          <w:szCs w:val="24"/>
        </w:rPr>
        <w:t>What to do</w:t>
      </w:r>
    </w:p>
    <w:p w14:paraId="7DDC4AE0" w14:textId="0DAE560F" w:rsidR="00004515" w:rsidRPr="004D6AE5" w:rsidRDefault="00004515" w:rsidP="00004515">
      <w:pPr>
        <w:spacing w:before="264" w:after="264"/>
        <w:rPr>
          <w:rFonts w:ascii="Times New Roman" w:hAnsi="Times New Roman" w:cs="Times New Roman"/>
          <w:sz w:val="24"/>
          <w:szCs w:val="24"/>
        </w:rPr>
      </w:pPr>
      <w:r w:rsidRPr="004D6AE5">
        <w:rPr>
          <w:rFonts w:ascii="Times New Roman" w:hAnsi="Times New Roman" w:cs="Times New Roman"/>
          <w:sz w:val="24"/>
          <w:szCs w:val="24"/>
        </w:rPr>
        <w:t xml:space="preserve">Life insurance proceeds will be included in your taxable estate if: </w:t>
      </w:r>
    </w:p>
    <w:p w14:paraId="07316B1D" w14:textId="77777777" w:rsidR="00004515" w:rsidRPr="004D6AE5" w:rsidRDefault="00004515" w:rsidP="00004515">
      <w:pPr>
        <w:numPr>
          <w:ilvl w:val="0"/>
          <w:numId w:val="1"/>
        </w:numPr>
        <w:spacing w:before="72" w:after="72"/>
        <w:ind w:left="480"/>
        <w:rPr>
          <w:rFonts w:ascii="Times New Roman" w:hAnsi="Times New Roman" w:cs="Times New Roman"/>
          <w:sz w:val="24"/>
          <w:szCs w:val="24"/>
        </w:rPr>
      </w:pPr>
      <w:r w:rsidRPr="004D6AE5">
        <w:rPr>
          <w:rFonts w:ascii="Times New Roman" w:hAnsi="Times New Roman" w:cs="Times New Roman"/>
          <w:sz w:val="24"/>
          <w:szCs w:val="24"/>
        </w:rPr>
        <w:t xml:space="preserve">Your estate is the beneficiary of the insurance proceeds, or </w:t>
      </w:r>
    </w:p>
    <w:p w14:paraId="0DE6F534" w14:textId="77777777" w:rsidR="00004515" w:rsidRPr="004D6AE5" w:rsidRDefault="00004515" w:rsidP="00004515">
      <w:pPr>
        <w:numPr>
          <w:ilvl w:val="0"/>
          <w:numId w:val="1"/>
        </w:numPr>
        <w:spacing w:before="72" w:after="72"/>
        <w:ind w:left="480"/>
        <w:rPr>
          <w:rFonts w:ascii="Times New Roman" w:hAnsi="Times New Roman" w:cs="Times New Roman"/>
          <w:sz w:val="24"/>
          <w:szCs w:val="24"/>
        </w:rPr>
      </w:pPr>
      <w:r w:rsidRPr="004D6AE5">
        <w:rPr>
          <w:rFonts w:ascii="Times New Roman" w:hAnsi="Times New Roman" w:cs="Times New Roman"/>
          <w:sz w:val="24"/>
          <w:szCs w:val="24"/>
        </w:rPr>
        <w:t>You possessed certain economic ownership rights (called “incidents of ownership”) in the policy at your death (or within three years of your death).</w:t>
      </w:r>
    </w:p>
    <w:p w14:paraId="7059922C" w14:textId="23F35547" w:rsidR="00004515" w:rsidRPr="004D6AE5" w:rsidRDefault="00004515" w:rsidP="00004515">
      <w:pPr>
        <w:spacing w:before="264" w:after="264"/>
        <w:rPr>
          <w:rFonts w:ascii="Times New Roman" w:hAnsi="Times New Roman" w:cs="Times New Roman"/>
          <w:sz w:val="24"/>
          <w:szCs w:val="24"/>
        </w:rPr>
      </w:pPr>
      <w:r w:rsidRPr="004D6AE5">
        <w:rPr>
          <w:rFonts w:ascii="Times New Roman" w:hAnsi="Times New Roman" w:cs="Times New Roman"/>
          <w:sz w:val="24"/>
          <w:szCs w:val="24"/>
        </w:rPr>
        <w:t xml:space="preserve">The first situation is avoidable simply by making sure your estate isn’t the designated beneficiary of the policy. The second situation is more complicated. If you possess any of the incidents of ownership of the policy, the proceeds will be included in your estate regardless of the beneficiary, even if someone else has legal title to the policy. To avoid that result, you must not retain the right to:  </w:t>
      </w:r>
    </w:p>
    <w:p w14:paraId="37498A5C" w14:textId="77777777" w:rsidR="00004515" w:rsidRPr="004D6AE5" w:rsidRDefault="00004515" w:rsidP="00004515">
      <w:pPr>
        <w:numPr>
          <w:ilvl w:val="0"/>
          <w:numId w:val="2"/>
        </w:numPr>
        <w:spacing w:before="72" w:after="72"/>
        <w:ind w:left="480"/>
        <w:rPr>
          <w:rFonts w:ascii="Times New Roman" w:hAnsi="Times New Roman" w:cs="Times New Roman"/>
          <w:sz w:val="24"/>
          <w:szCs w:val="24"/>
        </w:rPr>
      </w:pPr>
      <w:r w:rsidRPr="004D6AE5">
        <w:rPr>
          <w:rFonts w:ascii="Times New Roman" w:hAnsi="Times New Roman" w:cs="Times New Roman"/>
          <w:sz w:val="24"/>
          <w:szCs w:val="24"/>
        </w:rPr>
        <w:t xml:space="preserve">Change beneficiaries, </w:t>
      </w:r>
    </w:p>
    <w:p w14:paraId="1B4DC650" w14:textId="77777777" w:rsidR="00004515" w:rsidRPr="004D6AE5" w:rsidRDefault="00004515" w:rsidP="00004515">
      <w:pPr>
        <w:numPr>
          <w:ilvl w:val="0"/>
          <w:numId w:val="2"/>
        </w:numPr>
        <w:spacing w:before="72" w:after="72"/>
        <w:ind w:left="480"/>
        <w:rPr>
          <w:rFonts w:ascii="Times New Roman" w:hAnsi="Times New Roman" w:cs="Times New Roman"/>
          <w:sz w:val="24"/>
          <w:szCs w:val="24"/>
        </w:rPr>
      </w:pPr>
      <w:r w:rsidRPr="004D6AE5">
        <w:rPr>
          <w:rFonts w:ascii="Times New Roman" w:hAnsi="Times New Roman" w:cs="Times New Roman"/>
          <w:sz w:val="24"/>
          <w:szCs w:val="24"/>
        </w:rPr>
        <w:t xml:space="preserve">Assign the policy (or revoke an assignment), </w:t>
      </w:r>
    </w:p>
    <w:p w14:paraId="11BDAB34" w14:textId="77777777" w:rsidR="00004515" w:rsidRPr="004D6AE5" w:rsidRDefault="00004515" w:rsidP="00004515">
      <w:pPr>
        <w:numPr>
          <w:ilvl w:val="0"/>
          <w:numId w:val="2"/>
        </w:numPr>
        <w:spacing w:before="72" w:after="72"/>
        <w:ind w:left="480"/>
        <w:rPr>
          <w:rFonts w:ascii="Times New Roman" w:hAnsi="Times New Roman" w:cs="Times New Roman"/>
          <w:sz w:val="24"/>
          <w:szCs w:val="24"/>
        </w:rPr>
      </w:pPr>
      <w:r w:rsidRPr="004D6AE5">
        <w:rPr>
          <w:rFonts w:ascii="Times New Roman" w:hAnsi="Times New Roman" w:cs="Times New Roman"/>
          <w:sz w:val="24"/>
          <w:szCs w:val="24"/>
        </w:rPr>
        <w:t xml:space="preserve">Borrow against the policy's cash surrender value, </w:t>
      </w:r>
    </w:p>
    <w:p w14:paraId="345DAFF3" w14:textId="77777777" w:rsidR="00004515" w:rsidRPr="004D6AE5" w:rsidRDefault="00004515" w:rsidP="00004515">
      <w:pPr>
        <w:numPr>
          <w:ilvl w:val="0"/>
          <w:numId w:val="2"/>
        </w:numPr>
        <w:spacing w:before="72" w:after="72"/>
        <w:ind w:left="480"/>
        <w:rPr>
          <w:rFonts w:ascii="Times New Roman" w:hAnsi="Times New Roman" w:cs="Times New Roman"/>
          <w:sz w:val="24"/>
          <w:szCs w:val="24"/>
        </w:rPr>
      </w:pPr>
      <w:r w:rsidRPr="004D6AE5">
        <w:rPr>
          <w:rFonts w:ascii="Times New Roman" w:hAnsi="Times New Roman" w:cs="Times New Roman"/>
          <w:sz w:val="24"/>
          <w:szCs w:val="24"/>
        </w:rPr>
        <w:t xml:space="preserve">Pledge the policy as security for a loan, and </w:t>
      </w:r>
    </w:p>
    <w:p w14:paraId="0933D0C0" w14:textId="77777777" w:rsidR="00004515" w:rsidRPr="004D6AE5" w:rsidRDefault="00004515" w:rsidP="00004515">
      <w:pPr>
        <w:numPr>
          <w:ilvl w:val="0"/>
          <w:numId w:val="2"/>
        </w:numPr>
        <w:spacing w:before="72" w:after="72"/>
        <w:ind w:left="480"/>
        <w:rPr>
          <w:rFonts w:ascii="Times New Roman" w:hAnsi="Times New Roman" w:cs="Times New Roman"/>
          <w:sz w:val="24"/>
          <w:szCs w:val="24"/>
        </w:rPr>
      </w:pPr>
      <w:r w:rsidRPr="004D6AE5">
        <w:rPr>
          <w:rFonts w:ascii="Times New Roman" w:hAnsi="Times New Roman" w:cs="Times New Roman"/>
          <w:sz w:val="24"/>
          <w:szCs w:val="24"/>
        </w:rPr>
        <w:t>Surrender or cancel the policy.</w:t>
      </w:r>
    </w:p>
    <w:p w14:paraId="23DC1691" w14:textId="1127F77A" w:rsidR="00004515" w:rsidRPr="004D6AE5" w:rsidRDefault="00004515" w:rsidP="00004515">
      <w:pPr>
        <w:spacing w:before="264" w:after="264"/>
        <w:rPr>
          <w:rFonts w:ascii="Times New Roman" w:hAnsi="Times New Roman" w:cs="Times New Roman"/>
          <w:sz w:val="24"/>
          <w:szCs w:val="24"/>
        </w:rPr>
      </w:pPr>
      <w:r w:rsidRPr="004D6AE5">
        <w:rPr>
          <w:rFonts w:ascii="Times New Roman" w:hAnsi="Times New Roman" w:cs="Times New Roman"/>
          <w:sz w:val="24"/>
          <w:szCs w:val="24"/>
        </w:rPr>
        <w:t xml:space="preserve">Note: </w:t>
      </w:r>
      <w:r w:rsidR="005808EB" w:rsidRPr="004D6AE5">
        <w:rPr>
          <w:rFonts w:ascii="Times New Roman" w:hAnsi="Times New Roman" w:cs="Times New Roman"/>
          <w:sz w:val="24"/>
          <w:szCs w:val="24"/>
        </w:rPr>
        <w:t>M</w:t>
      </w:r>
      <w:r w:rsidRPr="004D6AE5">
        <w:rPr>
          <w:rFonts w:ascii="Times New Roman" w:hAnsi="Times New Roman" w:cs="Times New Roman"/>
          <w:sz w:val="24"/>
          <w:szCs w:val="24"/>
        </w:rPr>
        <w:t xml:space="preserve">erely </w:t>
      </w:r>
      <w:r w:rsidRPr="004D6AE5">
        <w:rPr>
          <w:rFonts w:ascii="Times New Roman" w:hAnsi="Times New Roman" w:cs="Times New Roman"/>
          <w:i/>
          <w:iCs/>
          <w:sz w:val="24"/>
          <w:szCs w:val="24"/>
        </w:rPr>
        <w:t>having</w:t>
      </w:r>
      <w:r w:rsidRPr="004D6AE5">
        <w:rPr>
          <w:rFonts w:ascii="Times New Roman" w:hAnsi="Times New Roman" w:cs="Times New Roman"/>
          <w:sz w:val="24"/>
          <w:szCs w:val="24"/>
        </w:rPr>
        <w:t xml:space="preserve"> any of the above powers will result in the proceeds being </w:t>
      </w:r>
      <w:r w:rsidR="009E2756" w:rsidRPr="004D6AE5">
        <w:rPr>
          <w:rFonts w:ascii="Times New Roman" w:hAnsi="Times New Roman" w:cs="Times New Roman"/>
          <w:sz w:val="24"/>
          <w:szCs w:val="24"/>
        </w:rPr>
        <w:t xml:space="preserve">included </w:t>
      </w:r>
      <w:r w:rsidRPr="004D6AE5">
        <w:rPr>
          <w:rFonts w:ascii="Times New Roman" w:hAnsi="Times New Roman" w:cs="Times New Roman"/>
          <w:sz w:val="24"/>
          <w:szCs w:val="24"/>
        </w:rPr>
        <w:t>in your estate, even if you never exercise the power</w:t>
      </w:r>
      <w:r w:rsidR="00DC3153" w:rsidRPr="004D6AE5">
        <w:rPr>
          <w:rFonts w:ascii="Times New Roman" w:hAnsi="Times New Roman" w:cs="Times New Roman"/>
          <w:sz w:val="24"/>
          <w:szCs w:val="24"/>
        </w:rPr>
        <w:t>s</w:t>
      </w:r>
      <w:r w:rsidRPr="004D6AE5">
        <w:rPr>
          <w:rFonts w:ascii="Times New Roman" w:hAnsi="Times New Roman" w:cs="Times New Roman"/>
          <w:sz w:val="24"/>
          <w:szCs w:val="24"/>
        </w:rPr>
        <w:t xml:space="preserve">. </w:t>
      </w:r>
    </w:p>
    <w:p w14:paraId="128AD716" w14:textId="7A94C402" w:rsidR="005808EB" w:rsidRPr="004D6AE5" w:rsidRDefault="00ED71C4" w:rsidP="00004515">
      <w:pPr>
        <w:spacing w:before="264" w:after="264"/>
        <w:rPr>
          <w:rFonts w:ascii="Times New Roman" w:hAnsi="Times New Roman" w:cs="Times New Roman"/>
          <w:b/>
          <w:bCs/>
          <w:sz w:val="24"/>
          <w:szCs w:val="24"/>
        </w:rPr>
      </w:pPr>
      <w:r w:rsidRPr="004D6AE5">
        <w:rPr>
          <w:rFonts w:ascii="Times New Roman" w:hAnsi="Times New Roman" w:cs="Times New Roman"/>
          <w:b/>
          <w:bCs/>
          <w:sz w:val="24"/>
          <w:szCs w:val="24"/>
        </w:rPr>
        <w:t>P</w:t>
      </w:r>
      <w:r w:rsidR="00004515" w:rsidRPr="004D6AE5">
        <w:rPr>
          <w:rFonts w:ascii="Times New Roman" w:hAnsi="Times New Roman" w:cs="Times New Roman"/>
          <w:b/>
          <w:bCs/>
          <w:sz w:val="24"/>
          <w:szCs w:val="24"/>
        </w:rPr>
        <w:t>ossible solutions</w:t>
      </w:r>
    </w:p>
    <w:p w14:paraId="1F56F1F6" w14:textId="5DBE5793" w:rsidR="0087468C" w:rsidRPr="004D6AE5" w:rsidRDefault="00597481" w:rsidP="00004515">
      <w:pPr>
        <w:spacing w:before="264" w:after="264"/>
        <w:rPr>
          <w:rFonts w:ascii="Times New Roman" w:hAnsi="Times New Roman" w:cs="Times New Roman"/>
          <w:sz w:val="24"/>
          <w:szCs w:val="24"/>
        </w:rPr>
      </w:pPr>
      <w:r w:rsidRPr="004D6AE5">
        <w:rPr>
          <w:rFonts w:ascii="Times New Roman" w:hAnsi="Times New Roman" w:cs="Times New Roman"/>
          <w:sz w:val="24"/>
          <w:szCs w:val="24"/>
        </w:rPr>
        <w:t xml:space="preserve">To </w:t>
      </w:r>
      <w:r w:rsidR="009F4B28" w:rsidRPr="004D6AE5">
        <w:rPr>
          <w:rFonts w:ascii="Times New Roman" w:hAnsi="Times New Roman" w:cs="Times New Roman"/>
          <w:sz w:val="24"/>
          <w:szCs w:val="24"/>
        </w:rPr>
        <w:t xml:space="preserve">shield </w:t>
      </w:r>
      <w:r w:rsidRPr="004D6AE5">
        <w:rPr>
          <w:rFonts w:ascii="Times New Roman" w:hAnsi="Times New Roman" w:cs="Times New Roman"/>
          <w:sz w:val="24"/>
          <w:szCs w:val="24"/>
        </w:rPr>
        <w:t xml:space="preserve">life insurance proceeds </w:t>
      </w:r>
      <w:r w:rsidR="009F4B28" w:rsidRPr="004D6AE5">
        <w:rPr>
          <w:rFonts w:ascii="Times New Roman" w:hAnsi="Times New Roman" w:cs="Times New Roman"/>
          <w:sz w:val="24"/>
          <w:szCs w:val="24"/>
        </w:rPr>
        <w:t>from estate tax,</w:t>
      </w:r>
      <w:r w:rsidR="00CC30A1" w:rsidRPr="004D6AE5">
        <w:rPr>
          <w:rFonts w:ascii="Times New Roman" w:hAnsi="Times New Roman" w:cs="Times New Roman"/>
          <w:sz w:val="24"/>
          <w:szCs w:val="24"/>
        </w:rPr>
        <w:t xml:space="preserve"> here are </w:t>
      </w:r>
      <w:r w:rsidR="00F37573" w:rsidRPr="004D6AE5">
        <w:rPr>
          <w:rFonts w:ascii="Times New Roman" w:hAnsi="Times New Roman" w:cs="Times New Roman"/>
          <w:sz w:val="24"/>
          <w:szCs w:val="24"/>
        </w:rPr>
        <w:t>two options</w:t>
      </w:r>
      <w:r w:rsidR="004D6AE5" w:rsidRPr="004D6AE5">
        <w:rPr>
          <w:rFonts w:ascii="Times New Roman" w:hAnsi="Times New Roman" w:cs="Times New Roman"/>
          <w:sz w:val="24"/>
          <w:szCs w:val="24"/>
        </w:rPr>
        <w:t>:</w:t>
      </w:r>
    </w:p>
    <w:p w14:paraId="4EFA29C9" w14:textId="2265735E" w:rsidR="00004515" w:rsidRPr="004D6AE5" w:rsidRDefault="00004515" w:rsidP="00F37573">
      <w:pPr>
        <w:pStyle w:val="ListParagraph"/>
        <w:numPr>
          <w:ilvl w:val="0"/>
          <w:numId w:val="4"/>
        </w:numPr>
      </w:pPr>
      <w:r w:rsidRPr="004D6AE5">
        <w:rPr>
          <w:b/>
          <w:bCs/>
        </w:rPr>
        <w:lastRenderedPageBreak/>
        <w:t>Buy-sell agreement.</w:t>
      </w:r>
      <w:r w:rsidRPr="004D6AE5">
        <w:t xml:space="preserve"> </w:t>
      </w:r>
      <w:r w:rsidR="00E47F1E" w:rsidRPr="004D6AE5">
        <w:t>Life insurance may be purchased to fund a buy-sell agreement for a business inter</w:t>
      </w:r>
      <w:r w:rsidR="00EE04A0" w:rsidRPr="004D6AE5">
        <w:t xml:space="preserve">est under a </w:t>
      </w:r>
      <w:r w:rsidR="0057009B" w:rsidRPr="004D6AE5">
        <w:t>“</w:t>
      </w:r>
      <w:r w:rsidR="00EE04A0" w:rsidRPr="004D6AE5">
        <w:t>crosspurchase</w:t>
      </w:r>
      <w:r w:rsidR="00C92175" w:rsidRPr="004D6AE5">
        <w:t>”</w:t>
      </w:r>
      <w:r w:rsidR="00EE04A0" w:rsidRPr="004D6AE5">
        <w:t xml:space="preserve"> arrangement. </w:t>
      </w:r>
      <w:r w:rsidR="00C92175" w:rsidRPr="004D6AE5">
        <w:t>T</w:t>
      </w:r>
      <w:r w:rsidR="00830B3B" w:rsidRPr="004D6AE5">
        <w:t>he proceeds won’t be taxed in your estate</w:t>
      </w:r>
      <w:r w:rsidR="0008637E" w:rsidRPr="004D6AE5">
        <w:t xml:space="preserve"> unless the estate is the beneficiary.</w:t>
      </w:r>
      <w:r w:rsidR="001D11B5" w:rsidRPr="004D6AE5">
        <w:t xml:space="preserve"> </w:t>
      </w:r>
      <w:r w:rsidR="0008637E" w:rsidRPr="004D6AE5">
        <w:t xml:space="preserve">Let’s say </w:t>
      </w:r>
      <w:r w:rsidR="00BF55F2" w:rsidRPr="004D6AE5">
        <w:t>two business partners</w:t>
      </w:r>
      <w:r w:rsidR="001D11B5" w:rsidRPr="004D6AE5">
        <w:t xml:space="preserve"> agree that the </w:t>
      </w:r>
      <w:r w:rsidR="007A1723" w:rsidRPr="004D6AE5">
        <w:t>p</w:t>
      </w:r>
      <w:r w:rsidR="008A7FB0" w:rsidRPr="004D6AE5">
        <w:t>artnership</w:t>
      </w:r>
      <w:r w:rsidR="007A1723" w:rsidRPr="004D6AE5">
        <w:t xml:space="preserve"> interest of the first to die will be purchased by the survivor. To fund the obligation, </w:t>
      </w:r>
      <w:r w:rsidR="00D961F8" w:rsidRPr="004D6AE5">
        <w:t>each partner buys,</w:t>
      </w:r>
      <w:r w:rsidR="00FA52FE" w:rsidRPr="004D6AE5">
        <w:t xml:space="preserve"> pays all premiums for and retains all ownership rights on a </w:t>
      </w:r>
      <w:r w:rsidR="00AF3E4C" w:rsidRPr="004D6AE5">
        <w:t xml:space="preserve">policy on the life of the other partner. When the first partner dies, </w:t>
      </w:r>
      <w:r w:rsidR="00F547E1" w:rsidRPr="004D6AE5">
        <w:t>the insurance proceeds aren’t taxed in the estate of the deceased</w:t>
      </w:r>
      <w:r w:rsidR="00F37573" w:rsidRPr="004D6AE5">
        <w:t>.</w:t>
      </w:r>
      <w:r w:rsidR="00F547E1" w:rsidRPr="004D6AE5">
        <w:t xml:space="preserve">  </w:t>
      </w:r>
    </w:p>
    <w:p w14:paraId="0926C913" w14:textId="12989769" w:rsidR="005808EB" w:rsidRPr="004D6AE5" w:rsidRDefault="00004515" w:rsidP="00F37573">
      <w:pPr>
        <w:pStyle w:val="ListParagraph"/>
        <w:numPr>
          <w:ilvl w:val="0"/>
          <w:numId w:val="4"/>
        </w:numPr>
        <w:spacing w:before="264" w:after="264"/>
      </w:pPr>
      <w:r w:rsidRPr="004D6AE5">
        <w:rPr>
          <w:b/>
          <w:bCs/>
        </w:rPr>
        <w:t>Irrevocable life insurance trust (ILIT).</w:t>
      </w:r>
      <w:r w:rsidR="002B5E8E" w:rsidRPr="004D6AE5">
        <w:t xml:space="preserve"> An</w:t>
      </w:r>
      <w:r w:rsidR="006F1AD9" w:rsidRPr="004D6AE5">
        <w:t xml:space="preserve"> </w:t>
      </w:r>
      <w:r w:rsidRPr="004D6AE5">
        <w:t>ILIT</w:t>
      </w:r>
      <w:r w:rsidR="002B5E8E" w:rsidRPr="004D6AE5">
        <w:t xml:space="preserve"> can be established </w:t>
      </w:r>
      <w:r w:rsidR="00146881" w:rsidRPr="004D6AE5">
        <w:t>and be</w:t>
      </w:r>
      <w:r w:rsidR="006F1AD9" w:rsidRPr="004D6AE5">
        <w:t xml:space="preserve"> the owner of </w:t>
      </w:r>
      <w:r w:rsidR="00146881" w:rsidRPr="004D6AE5">
        <w:t>a</w:t>
      </w:r>
      <w:r w:rsidR="006F1AD9" w:rsidRPr="004D6AE5">
        <w:t xml:space="preserve"> life insurance policy, </w:t>
      </w:r>
      <w:r w:rsidR="006673EC" w:rsidRPr="004D6AE5">
        <w:t>purchased with assets</w:t>
      </w:r>
      <w:r w:rsidR="00146881" w:rsidRPr="004D6AE5">
        <w:t xml:space="preserve"> from the insured.</w:t>
      </w:r>
      <w:r w:rsidR="006673EC" w:rsidRPr="004D6AE5">
        <w:t xml:space="preserve"> </w:t>
      </w:r>
      <w:r w:rsidR="00F179F2" w:rsidRPr="004D6AE5">
        <w:t xml:space="preserve">As long as </w:t>
      </w:r>
      <w:r w:rsidR="00146881" w:rsidRPr="004D6AE5">
        <w:t>the insured has</w:t>
      </w:r>
      <w:r w:rsidRPr="004D6AE5">
        <w:t xml:space="preserve"> no rights of ownership in the policy, the proceeds of the policy won’t be taxed to</w:t>
      </w:r>
      <w:r w:rsidR="002B5E8E" w:rsidRPr="004D6AE5">
        <w:t xml:space="preserve"> </w:t>
      </w:r>
      <w:r w:rsidR="00146881" w:rsidRPr="004D6AE5">
        <w:t>his or her</w:t>
      </w:r>
      <w:r w:rsidRPr="004D6AE5">
        <w:t xml:space="preserve"> estate. </w:t>
      </w:r>
    </w:p>
    <w:p w14:paraId="3EC3ECBB" w14:textId="77777777" w:rsidR="00004515" w:rsidRPr="004D6AE5" w:rsidRDefault="00004515" w:rsidP="00004515">
      <w:pPr>
        <w:spacing w:before="264" w:after="264"/>
        <w:rPr>
          <w:rFonts w:ascii="Times New Roman" w:hAnsi="Times New Roman" w:cs="Times New Roman"/>
          <w:b/>
          <w:bCs/>
          <w:sz w:val="24"/>
          <w:szCs w:val="24"/>
        </w:rPr>
      </w:pPr>
      <w:r w:rsidRPr="004D6AE5">
        <w:rPr>
          <w:rFonts w:ascii="Times New Roman" w:hAnsi="Times New Roman" w:cs="Times New Roman"/>
          <w:b/>
          <w:bCs/>
          <w:sz w:val="24"/>
          <w:szCs w:val="24"/>
        </w:rPr>
        <w:t>Three-year rule</w:t>
      </w:r>
    </w:p>
    <w:p w14:paraId="72097A01" w14:textId="72AF5DFD" w:rsidR="00122D5A" w:rsidRPr="004D6AE5" w:rsidRDefault="00D5326E" w:rsidP="00122D5A">
      <w:pPr>
        <w:spacing w:before="264" w:after="264" w:line="240" w:lineRule="auto"/>
        <w:rPr>
          <w:rFonts w:ascii="Times New Roman" w:eastAsia="Times New Roman" w:hAnsi="Times New Roman" w:cs="Times New Roman"/>
          <w:sz w:val="24"/>
          <w:szCs w:val="24"/>
        </w:rPr>
      </w:pPr>
      <w:r w:rsidRPr="004D6AE5">
        <w:rPr>
          <w:rFonts w:ascii="Times New Roman" w:eastAsia="Times New Roman" w:hAnsi="Times New Roman" w:cs="Times New Roman"/>
          <w:sz w:val="24"/>
          <w:szCs w:val="24"/>
        </w:rPr>
        <w:t xml:space="preserve">If you’re considering </w:t>
      </w:r>
      <w:r w:rsidR="005666D2" w:rsidRPr="004D6AE5">
        <w:rPr>
          <w:rFonts w:ascii="Times New Roman" w:eastAsia="Times New Roman" w:hAnsi="Times New Roman" w:cs="Times New Roman"/>
          <w:sz w:val="24"/>
          <w:szCs w:val="24"/>
        </w:rPr>
        <w:t>establishing an ILIT</w:t>
      </w:r>
      <w:r w:rsidR="0088280B" w:rsidRPr="004D6AE5">
        <w:rPr>
          <w:rFonts w:ascii="Times New Roman" w:eastAsia="Times New Roman" w:hAnsi="Times New Roman" w:cs="Times New Roman"/>
          <w:sz w:val="24"/>
          <w:szCs w:val="24"/>
        </w:rPr>
        <w:t xml:space="preserve"> or assigning away rights in a policy you own</w:t>
      </w:r>
      <w:r w:rsidR="005666D2" w:rsidRPr="004D6AE5">
        <w:rPr>
          <w:rFonts w:ascii="Times New Roman" w:eastAsia="Times New Roman" w:hAnsi="Times New Roman" w:cs="Times New Roman"/>
          <w:sz w:val="24"/>
          <w:szCs w:val="24"/>
        </w:rPr>
        <w:t>, we can help.</w:t>
      </w:r>
      <w:r w:rsidR="002D471B" w:rsidRPr="004D6AE5">
        <w:rPr>
          <w:rFonts w:ascii="Times New Roman" w:eastAsia="Times New Roman" w:hAnsi="Times New Roman" w:cs="Times New Roman"/>
          <w:sz w:val="24"/>
          <w:szCs w:val="24"/>
        </w:rPr>
        <w:t xml:space="preserve"> </w:t>
      </w:r>
      <w:r w:rsidR="00782701" w:rsidRPr="004D6AE5">
        <w:rPr>
          <w:rFonts w:ascii="Times New Roman" w:eastAsia="Times New Roman" w:hAnsi="Times New Roman" w:cs="Times New Roman"/>
          <w:sz w:val="24"/>
          <w:szCs w:val="24"/>
        </w:rPr>
        <w:t>However, u</w:t>
      </w:r>
      <w:r w:rsidR="00122D5A" w:rsidRPr="004D6AE5">
        <w:rPr>
          <w:rFonts w:ascii="Times New Roman" w:eastAsia="Times New Roman" w:hAnsi="Times New Roman" w:cs="Times New Roman"/>
          <w:sz w:val="24"/>
          <w:szCs w:val="24"/>
        </w:rPr>
        <w:t>nless you live for at least three years after</w:t>
      </w:r>
      <w:r w:rsidR="00DB7ACF" w:rsidRPr="004D6AE5">
        <w:rPr>
          <w:rFonts w:ascii="Times New Roman" w:eastAsia="Times New Roman" w:hAnsi="Times New Roman" w:cs="Times New Roman"/>
          <w:sz w:val="24"/>
          <w:szCs w:val="24"/>
        </w:rPr>
        <w:t xml:space="preserve"> taking these steps</w:t>
      </w:r>
      <w:r w:rsidR="00122D5A" w:rsidRPr="004D6AE5">
        <w:rPr>
          <w:rFonts w:ascii="Times New Roman" w:eastAsia="Times New Roman" w:hAnsi="Times New Roman" w:cs="Times New Roman"/>
          <w:sz w:val="24"/>
          <w:szCs w:val="24"/>
        </w:rPr>
        <w:t>, the proceeds will be taxed in your estate. For policies in which you never held incidents of ownership, the three-year rule doesn</w:t>
      </w:r>
      <w:r w:rsidR="005808EB" w:rsidRPr="004D6AE5">
        <w:rPr>
          <w:rFonts w:ascii="Times New Roman" w:eastAsia="Times New Roman" w:hAnsi="Times New Roman" w:cs="Times New Roman"/>
          <w:sz w:val="24"/>
          <w:szCs w:val="24"/>
        </w:rPr>
        <w:t>’</w:t>
      </w:r>
      <w:r w:rsidR="00122D5A" w:rsidRPr="004D6AE5">
        <w:rPr>
          <w:rFonts w:ascii="Times New Roman" w:eastAsia="Times New Roman" w:hAnsi="Times New Roman" w:cs="Times New Roman"/>
          <w:sz w:val="24"/>
          <w:szCs w:val="24"/>
        </w:rPr>
        <w:t>t apply. Don’t hesitate to contact us with any questions about your situation.</w:t>
      </w:r>
    </w:p>
    <w:p w14:paraId="5AF824EF" w14:textId="77777777" w:rsidR="00B8308D" w:rsidRDefault="00B8308D" w:rsidP="00B8308D">
      <w:pPr>
        <w:tabs>
          <w:tab w:val="center" w:pos="4680"/>
        </w:tabs>
        <w:rPr>
          <w:rFonts w:ascii="Palatino" w:hAnsi="Palatino" w:cs="Palatino"/>
        </w:rPr>
      </w:pPr>
      <w:r>
        <w:rPr>
          <w:rFonts w:cs="Times New Roman"/>
          <w:color w:val="0070C0"/>
        </w:rPr>
        <w:t>©</w:t>
      </w:r>
      <w:r>
        <w:rPr>
          <w:color w:val="0070C0"/>
        </w:rPr>
        <w:t xml:space="preserve"> </w:t>
      </w:r>
      <w:r w:rsidRPr="00550469">
        <w:rPr>
          <w:i/>
          <w:iCs/>
          <w:color w:val="0070C0"/>
        </w:rPr>
        <w:t>2022</w:t>
      </w:r>
    </w:p>
    <w:p w14:paraId="7D5D9D0B" w14:textId="709A5AE4" w:rsidR="00004515" w:rsidRPr="004D6AE5" w:rsidRDefault="00004515" w:rsidP="00004515">
      <w:pPr>
        <w:spacing w:before="264" w:after="264"/>
        <w:rPr>
          <w:rFonts w:ascii="Times New Roman" w:hAnsi="Times New Roman" w:cs="Times New Roman"/>
          <w:sz w:val="24"/>
          <w:szCs w:val="24"/>
        </w:rPr>
      </w:pPr>
    </w:p>
    <w:bookmarkEnd w:id="0"/>
    <w:p w14:paraId="2FD7EFC0" w14:textId="0B5EAA68" w:rsidR="007E1D8F" w:rsidRPr="004D6AE5" w:rsidRDefault="007E1D8F" w:rsidP="007E1D8F">
      <w:pPr>
        <w:spacing w:before="100" w:beforeAutospacing="1" w:after="100" w:afterAutospacing="1" w:line="270" w:lineRule="atLeast"/>
        <w:rPr>
          <w:rFonts w:ascii="Times New Roman" w:eastAsia="Times New Roman" w:hAnsi="Times New Roman" w:cs="Times New Roman"/>
          <w:b/>
          <w:bCs/>
          <w:sz w:val="24"/>
          <w:szCs w:val="24"/>
        </w:rPr>
      </w:pPr>
    </w:p>
    <w:p w14:paraId="0A156C4C" w14:textId="37861127" w:rsidR="007E1D8F" w:rsidRPr="004D6AE5" w:rsidRDefault="00B31398" w:rsidP="007E1D8F">
      <w:pPr>
        <w:spacing w:before="100" w:beforeAutospacing="1" w:after="100" w:afterAutospacing="1" w:line="270" w:lineRule="atLeast"/>
        <w:rPr>
          <w:rFonts w:ascii="Times New Roman" w:eastAsia="MS Mincho" w:hAnsi="Times New Roman" w:cs="Times New Roman"/>
          <w:sz w:val="24"/>
          <w:szCs w:val="24"/>
        </w:rPr>
      </w:pPr>
      <w:r w:rsidRPr="004D6AE5">
        <w:rPr>
          <w:rFonts w:ascii="Times New Roman" w:eastAsia="MS Mincho" w:hAnsi="Times New Roman" w:cs="Times New Roman"/>
          <w:b/>
          <w:bCs/>
          <w:sz w:val="24"/>
          <w:szCs w:val="24"/>
        </w:rPr>
        <w:t xml:space="preserve"> </w:t>
      </w:r>
    </w:p>
    <w:p w14:paraId="72E86763" w14:textId="77777777" w:rsidR="007E1D8F" w:rsidRPr="004D6AE5" w:rsidRDefault="007E1D8F" w:rsidP="007E1D8F">
      <w:pPr>
        <w:rPr>
          <w:rFonts w:ascii="Times New Roman" w:hAnsi="Times New Roman" w:cs="Times New Roman"/>
          <w:sz w:val="24"/>
          <w:szCs w:val="24"/>
        </w:rPr>
      </w:pPr>
      <w:r w:rsidRPr="004D6AE5">
        <w:rPr>
          <w:rFonts w:ascii="Times New Roman" w:eastAsia="MS Mincho" w:hAnsi="Times New Roman" w:cs="Times New Roman"/>
          <w:sz w:val="24"/>
          <w:szCs w:val="24"/>
        </w:rPr>
        <w:t xml:space="preserve"> </w:t>
      </w:r>
    </w:p>
    <w:p w14:paraId="2C078E63" w14:textId="77777777" w:rsidR="00F52216" w:rsidRPr="00173050" w:rsidRDefault="00F52216">
      <w:pPr>
        <w:rPr>
          <w:rFonts w:ascii="Times New Roman" w:hAnsi="Times New Roman" w:cs="Times New Roman"/>
          <w:sz w:val="24"/>
          <w:szCs w:val="24"/>
        </w:rPr>
      </w:pPr>
    </w:p>
    <w:sectPr w:rsidR="00F52216" w:rsidRPr="00173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572"/>
    <w:multiLevelType w:val="hybridMultilevel"/>
    <w:tmpl w:val="ACE0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14A1F"/>
    <w:multiLevelType w:val="hybridMultilevel"/>
    <w:tmpl w:val="7F9868B4"/>
    <w:lvl w:ilvl="0" w:tplc="FBB4B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9474F"/>
    <w:multiLevelType w:val="multilevel"/>
    <w:tmpl w:val="A5D8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A35891"/>
    <w:multiLevelType w:val="multilevel"/>
    <w:tmpl w:val="0344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927BA2"/>
    <w:rsid w:val="00004515"/>
    <w:rsid w:val="00020E02"/>
    <w:rsid w:val="00047E11"/>
    <w:rsid w:val="00066F17"/>
    <w:rsid w:val="0008637E"/>
    <w:rsid w:val="0009160A"/>
    <w:rsid w:val="00107DAD"/>
    <w:rsid w:val="00121300"/>
    <w:rsid w:val="00122D5A"/>
    <w:rsid w:val="001423F7"/>
    <w:rsid w:val="00146881"/>
    <w:rsid w:val="00173050"/>
    <w:rsid w:val="001D11B5"/>
    <w:rsid w:val="001E7F7C"/>
    <w:rsid w:val="002331AD"/>
    <w:rsid w:val="00263B0F"/>
    <w:rsid w:val="00284999"/>
    <w:rsid w:val="00292306"/>
    <w:rsid w:val="002B5E8E"/>
    <w:rsid w:val="002D471B"/>
    <w:rsid w:val="002E23DE"/>
    <w:rsid w:val="003227D9"/>
    <w:rsid w:val="00330F1B"/>
    <w:rsid w:val="003662E0"/>
    <w:rsid w:val="004D6AE5"/>
    <w:rsid w:val="0054363F"/>
    <w:rsid w:val="005666D2"/>
    <w:rsid w:val="0057009B"/>
    <w:rsid w:val="005808EB"/>
    <w:rsid w:val="005966BE"/>
    <w:rsid w:val="00597481"/>
    <w:rsid w:val="00611A35"/>
    <w:rsid w:val="00616CF5"/>
    <w:rsid w:val="006673EC"/>
    <w:rsid w:val="00680869"/>
    <w:rsid w:val="006E0808"/>
    <w:rsid w:val="006E44CC"/>
    <w:rsid w:val="006F1AD9"/>
    <w:rsid w:val="006F1BE3"/>
    <w:rsid w:val="007045DC"/>
    <w:rsid w:val="007133F7"/>
    <w:rsid w:val="00723748"/>
    <w:rsid w:val="00734E9A"/>
    <w:rsid w:val="00756D04"/>
    <w:rsid w:val="00780FA3"/>
    <w:rsid w:val="00782701"/>
    <w:rsid w:val="00792BAA"/>
    <w:rsid w:val="007A1723"/>
    <w:rsid w:val="007B6B36"/>
    <w:rsid w:val="007B70FE"/>
    <w:rsid w:val="007E1D8F"/>
    <w:rsid w:val="00817BD9"/>
    <w:rsid w:val="00830B3B"/>
    <w:rsid w:val="0083595C"/>
    <w:rsid w:val="0087468C"/>
    <w:rsid w:val="0088280B"/>
    <w:rsid w:val="008A7FB0"/>
    <w:rsid w:val="008F10B2"/>
    <w:rsid w:val="00913E87"/>
    <w:rsid w:val="00944917"/>
    <w:rsid w:val="009451ED"/>
    <w:rsid w:val="00971935"/>
    <w:rsid w:val="009737FD"/>
    <w:rsid w:val="009859F0"/>
    <w:rsid w:val="009B339A"/>
    <w:rsid w:val="009E2756"/>
    <w:rsid w:val="009F4B28"/>
    <w:rsid w:val="00A01049"/>
    <w:rsid w:val="00A4262A"/>
    <w:rsid w:val="00A46255"/>
    <w:rsid w:val="00A56B8B"/>
    <w:rsid w:val="00A677A0"/>
    <w:rsid w:val="00AF3E4C"/>
    <w:rsid w:val="00B2273A"/>
    <w:rsid w:val="00B31398"/>
    <w:rsid w:val="00B72C27"/>
    <w:rsid w:val="00B8308D"/>
    <w:rsid w:val="00BE5A46"/>
    <w:rsid w:val="00BF55F2"/>
    <w:rsid w:val="00BF741C"/>
    <w:rsid w:val="00C92175"/>
    <w:rsid w:val="00CA6374"/>
    <w:rsid w:val="00CC30A1"/>
    <w:rsid w:val="00D5326E"/>
    <w:rsid w:val="00D762FB"/>
    <w:rsid w:val="00D961F8"/>
    <w:rsid w:val="00DB7ACF"/>
    <w:rsid w:val="00DC3153"/>
    <w:rsid w:val="00DD56C7"/>
    <w:rsid w:val="00E47F1E"/>
    <w:rsid w:val="00E52523"/>
    <w:rsid w:val="00E5296F"/>
    <w:rsid w:val="00ED71C4"/>
    <w:rsid w:val="00EE04A0"/>
    <w:rsid w:val="00EE3031"/>
    <w:rsid w:val="00EE6062"/>
    <w:rsid w:val="00EE7278"/>
    <w:rsid w:val="00F179F2"/>
    <w:rsid w:val="00F33289"/>
    <w:rsid w:val="00F37573"/>
    <w:rsid w:val="00F52216"/>
    <w:rsid w:val="00F547E1"/>
    <w:rsid w:val="00FA52FE"/>
    <w:rsid w:val="00FA64E8"/>
    <w:rsid w:val="5592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7BA2"/>
  <w15:chartTrackingRefBased/>
  <w15:docId w15:val="{3AD05CB0-3050-4DF1-9B52-FEEBDD09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515"/>
    <w:pPr>
      <w:spacing w:before="240" w:after="24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6E0808"/>
    <w:pPr>
      <w:spacing w:after="0" w:line="240" w:lineRule="auto"/>
    </w:pPr>
  </w:style>
  <w:style w:type="character" w:styleId="CommentReference">
    <w:name w:val="annotation reference"/>
    <w:basedOn w:val="DefaultParagraphFont"/>
    <w:uiPriority w:val="99"/>
    <w:semiHidden/>
    <w:unhideWhenUsed/>
    <w:rsid w:val="005808EB"/>
    <w:rPr>
      <w:sz w:val="16"/>
      <w:szCs w:val="16"/>
    </w:rPr>
  </w:style>
  <w:style w:type="paragraph" w:styleId="CommentText">
    <w:name w:val="annotation text"/>
    <w:basedOn w:val="Normal"/>
    <w:link w:val="CommentTextChar"/>
    <w:uiPriority w:val="99"/>
    <w:semiHidden/>
    <w:unhideWhenUsed/>
    <w:rsid w:val="005808EB"/>
    <w:pPr>
      <w:spacing w:line="240" w:lineRule="auto"/>
    </w:pPr>
    <w:rPr>
      <w:sz w:val="20"/>
      <w:szCs w:val="20"/>
    </w:rPr>
  </w:style>
  <w:style w:type="character" w:customStyle="1" w:styleId="CommentTextChar">
    <w:name w:val="Comment Text Char"/>
    <w:basedOn w:val="DefaultParagraphFont"/>
    <w:link w:val="CommentText"/>
    <w:uiPriority w:val="99"/>
    <w:semiHidden/>
    <w:rsid w:val="005808EB"/>
    <w:rPr>
      <w:sz w:val="20"/>
      <w:szCs w:val="20"/>
    </w:rPr>
  </w:style>
  <w:style w:type="paragraph" w:styleId="CommentSubject">
    <w:name w:val="annotation subject"/>
    <w:basedOn w:val="CommentText"/>
    <w:next w:val="CommentText"/>
    <w:link w:val="CommentSubjectChar"/>
    <w:uiPriority w:val="99"/>
    <w:semiHidden/>
    <w:unhideWhenUsed/>
    <w:rsid w:val="005808EB"/>
    <w:rPr>
      <w:b/>
      <w:bCs/>
    </w:rPr>
  </w:style>
  <w:style w:type="character" w:customStyle="1" w:styleId="CommentSubjectChar">
    <w:name w:val="Comment Subject Char"/>
    <w:basedOn w:val="CommentTextChar"/>
    <w:link w:val="CommentSubject"/>
    <w:uiPriority w:val="99"/>
    <w:semiHidden/>
    <w:rsid w:val="00580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5AB590-A6EF-4105-82CB-E872DBE6F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5FDC8-82CC-4D57-A299-DB06EC30BF3F}">
  <ds:schemaRefs>
    <ds:schemaRef ds:uri="http://schemas.microsoft.com/sharepoint/v3/contenttype/forms"/>
  </ds:schemaRefs>
</ds:datastoreItem>
</file>

<file path=customXml/itemProps3.xml><?xml version="1.0" encoding="utf-8"?>
<ds:datastoreItem xmlns:ds="http://schemas.openxmlformats.org/officeDocument/2006/customXml" ds:itemID="{F841C9FA-6CE8-4FE0-A2F5-B4300435DCA6}">
  <ds:schemaRefs>
    <ds:schemaRef ds:uri="http://purl.org/dc/dcmitype/"/>
    <ds:schemaRef ds:uri="http://schemas.microsoft.com/office/infopath/2007/PartnerControls"/>
    <ds:schemaRef ds:uri="3f3b3382-7005-45e0-adac-ca66d19e4502"/>
    <ds:schemaRef ds:uri="http://purl.org/dc/terms/"/>
    <ds:schemaRef ds:uri="http://schemas.microsoft.com/sharepoint/v3"/>
    <ds:schemaRef ds:uri="http://www.w3.org/XML/1998/namespace"/>
    <ds:schemaRef ds:uri="http://schemas.microsoft.com/office/2006/metadata/properties"/>
    <ds:schemaRef ds:uri="http://schemas.microsoft.com/office/2006/documentManagement/types"/>
    <ds:schemaRef ds:uri="5780ff4a-8397-4f78-a7bb-31364ea346f1"/>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38</cp:revision>
  <dcterms:created xsi:type="dcterms:W3CDTF">2022-02-16T19:24:00Z</dcterms:created>
  <dcterms:modified xsi:type="dcterms:W3CDTF">2022-02-19T01:10:00Z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